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1E" w:rsidRDefault="00D4171E">
      <w:pPr>
        <w:pStyle w:val="normal0"/>
        <w:widowControl w:val="0"/>
        <w:spacing w:before="711"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CARTA INTESTATA DELL’ISTITUZIONE </w:t>
      </w:r>
    </w:p>
    <w:p w:rsidR="00D4171E" w:rsidRDefault="00D4171E">
      <w:pPr>
        <w:pStyle w:val="normal0"/>
        <w:widowControl w:val="0"/>
        <w:spacing w:before="381" w:line="240" w:lineRule="auto"/>
        <w:ind w:left="6519" w:right="1295" w:hanging="1133"/>
        <w:jc w:val="both"/>
        <w:rPr>
          <w:rFonts w:ascii="Times New Roman" w:hAnsi="Times New Roman" w:cs="Times New Roman"/>
          <w:color w:val="000000"/>
        </w:rPr>
      </w:pPr>
      <w:r>
        <w:rPr>
          <w:rFonts w:ascii="Times New Roman" w:hAnsi="Times New Roman" w:cs="Times New Roman"/>
          <w:color w:val="000000"/>
        </w:rPr>
        <w:t xml:space="preserve">Al personale assegnato </w:t>
      </w:r>
    </w:p>
    <w:p w:rsidR="00D4171E" w:rsidRDefault="00D4171E">
      <w:pPr>
        <w:pStyle w:val="normal0"/>
        <w:widowControl w:val="0"/>
        <w:spacing w:before="51" w:line="240" w:lineRule="auto"/>
        <w:ind w:left="5385" w:right="1012"/>
        <w:jc w:val="both"/>
        <w:rPr>
          <w:rFonts w:ascii="Times New Roman" w:hAnsi="Times New Roman" w:cs="Times New Roman"/>
          <w:color w:val="000000"/>
        </w:rPr>
      </w:pPr>
      <w:r>
        <w:rPr>
          <w:rFonts w:ascii="Times New Roman" w:hAnsi="Times New Roman" w:cs="Times New Roman"/>
          <w:color w:val="000000"/>
        </w:rPr>
        <w:t xml:space="preserve">alla istituzione scolastica/formativa provinciale </w:t>
      </w:r>
    </w:p>
    <w:p w:rsidR="00D4171E" w:rsidRDefault="00D4171E">
      <w:pPr>
        <w:pStyle w:val="normal0"/>
        <w:widowControl w:val="0"/>
        <w:spacing w:before="359" w:line="240" w:lineRule="auto"/>
        <w:rPr>
          <w:rFonts w:ascii="Times New Roman" w:hAnsi="Times New Roman" w:cs="Times New Roman"/>
        </w:rPr>
      </w:pPr>
      <w:r>
        <w:rPr>
          <w:rFonts w:ascii="Times New Roman" w:hAnsi="Times New Roman" w:cs="Times New Roman"/>
        </w:rPr>
        <w:t xml:space="preserve">Luogo, </w:t>
      </w:r>
    </w:p>
    <w:p w:rsidR="00D4171E" w:rsidRDefault="00D4171E">
      <w:pPr>
        <w:pStyle w:val="normal0"/>
        <w:widowControl w:val="0"/>
        <w:spacing w:before="200" w:line="240" w:lineRule="auto"/>
        <w:ind w:left="28" w:right="1004" w:firstLine="2"/>
        <w:rPr>
          <w:rFonts w:ascii="Times New Roman" w:hAnsi="Times New Roman" w:cs="Times New Roman"/>
        </w:rPr>
      </w:pPr>
      <w:r>
        <w:rPr>
          <w:rFonts w:ascii="Times New Roman" w:hAnsi="Times New Roman" w:cs="Times New Roman"/>
          <w:color w:val="000000"/>
        </w:rPr>
        <w:t>Prot. (codice titolario/anno-numero fascicolo</w:t>
      </w:r>
      <w:r>
        <w:rPr>
          <w:rFonts w:ascii="Times New Roman" w:hAnsi="Times New Roman" w:cs="Times New Roman"/>
        </w:rPr>
        <w:t>)</w:t>
      </w:r>
    </w:p>
    <w:p w:rsidR="00D4171E" w:rsidRDefault="00D4171E">
      <w:pPr>
        <w:pStyle w:val="normal0"/>
        <w:widowControl w:val="0"/>
        <w:spacing w:before="200" w:line="240" w:lineRule="auto"/>
        <w:ind w:left="28" w:right="1004" w:firstLine="2"/>
        <w:rPr>
          <w:rFonts w:ascii="Times New Roman" w:hAnsi="Times New Roman" w:cs="Times New Roman"/>
          <w:sz w:val="24"/>
          <w:szCs w:val="24"/>
        </w:rPr>
      </w:pPr>
    </w:p>
    <w:p w:rsidR="00D4171E" w:rsidRDefault="00D4171E">
      <w:pPr>
        <w:pStyle w:val="normal0"/>
        <w:widowControl w:val="0"/>
        <w:spacing w:before="33" w:line="240" w:lineRule="auto"/>
        <w:ind w:right="4980"/>
        <w:jc w:val="both"/>
        <w:rPr>
          <w:rFonts w:ascii="Times New Roman" w:hAnsi="Times New Roman" w:cs="Times New Roman"/>
          <w:sz w:val="18"/>
          <w:szCs w:val="18"/>
        </w:rPr>
      </w:pPr>
      <w:r>
        <w:rPr>
          <w:rFonts w:ascii="Times New Roman" w:hAnsi="Times New Roman" w:cs="Times New Roman"/>
          <w:sz w:val="18"/>
          <w:szCs w:val="18"/>
        </w:rPr>
        <w:t xml:space="preserve">Numero di protocollo associato al documento come metadato (DPCM 3.12.2013, art. 20). Verificare l'oggetto della PEC o i  files allegati alla medesima. Data di registrazione inclusa nella segnatura di protocollo. </w:t>
      </w:r>
    </w:p>
    <w:p w:rsidR="00D4171E" w:rsidRDefault="00D4171E">
      <w:pPr>
        <w:pStyle w:val="normal0"/>
        <w:widowControl w:val="0"/>
        <w:spacing w:before="33" w:line="240" w:lineRule="auto"/>
        <w:ind w:right="4980"/>
        <w:jc w:val="both"/>
        <w:rPr>
          <w:rFonts w:ascii="Times New Roman" w:hAnsi="Times New Roman" w:cs="Times New Roman"/>
          <w:sz w:val="18"/>
          <w:szCs w:val="18"/>
        </w:rPr>
      </w:pPr>
      <w:r>
        <w:rPr>
          <w:rFonts w:ascii="Times New Roman" w:hAnsi="Times New Roman" w:cs="Times New Roman"/>
          <w:sz w:val="18"/>
          <w:szCs w:val="18"/>
        </w:rPr>
        <w:t>Negli esemplari cartacei segnatura di protocollo in alto a destra (da citare nella risposta).</w:t>
      </w:r>
    </w:p>
    <w:p w:rsidR="00D4171E" w:rsidRDefault="00D4171E">
      <w:pPr>
        <w:pStyle w:val="normal0"/>
        <w:widowControl w:val="0"/>
        <w:spacing w:before="33" w:line="240" w:lineRule="auto"/>
        <w:ind w:right="4980"/>
        <w:jc w:val="both"/>
        <w:rPr>
          <w:rFonts w:ascii="Times New Roman" w:hAnsi="Times New Roman" w:cs="Times New Roman"/>
          <w:sz w:val="18"/>
          <w:szCs w:val="18"/>
        </w:rPr>
      </w:pPr>
    </w:p>
    <w:p w:rsidR="00D4171E" w:rsidRDefault="00D4171E">
      <w:pPr>
        <w:pStyle w:val="normal0"/>
        <w:widowControl w:val="0"/>
        <w:spacing w:before="200" w:line="240" w:lineRule="auto"/>
        <w:ind w:left="34" w:right="-7" w:firstLine="1"/>
        <w:jc w:val="both"/>
        <w:rPr>
          <w:rFonts w:ascii="Times New Roman" w:hAnsi="Times New Roman" w:cs="Times New Roman"/>
          <w:color w:val="000000"/>
        </w:rPr>
      </w:pPr>
      <w:r>
        <w:rPr>
          <w:rFonts w:ascii="Times New Roman" w:hAnsi="Times New Roman" w:cs="Times New Roman"/>
          <w:b/>
          <w:color w:val="000000"/>
        </w:rPr>
        <w:t xml:space="preserve">Oggetto: </w:t>
      </w:r>
      <w:r>
        <w:rPr>
          <w:rFonts w:ascii="Times New Roman" w:hAnsi="Times New Roman" w:cs="Times New Roman"/>
          <w:color w:val="000000"/>
        </w:rPr>
        <w:t xml:space="preserve">Disposizione di servizio. Monitoraggio dei rapporti personali che possono configurare situazioni di conflitto di interesse dei dipendenti assegnati all’istituzione scolastica/formativa provinciale (art. 7 Codice di comportamento approvato con deliberazione di Giunta provinciale n. 1217 del 2014). </w:t>
      </w:r>
    </w:p>
    <w:p w:rsidR="00D4171E" w:rsidRDefault="00D4171E">
      <w:pPr>
        <w:pStyle w:val="normal0"/>
        <w:widowControl w:val="0"/>
        <w:spacing w:before="200" w:line="240" w:lineRule="auto"/>
        <w:ind w:left="26" w:right="-7" w:firstLine="4"/>
        <w:jc w:val="both"/>
        <w:rPr>
          <w:rFonts w:ascii="Times New Roman" w:hAnsi="Times New Roman" w:cs="Times New Roman"/>
        </w:rPr>
      </w:pPr>
    </w:p>
    <w:p w:rsidR="00D4171E" w:rsidRDefault="00D4171E">
      <w:pPr>
        <w:pStyle w:val="normal0"/>
        <w:widowControl w:val="0"/>
        <w:spacing w:before="200" w:line="240" w:lineRule="auto"/>
        <w:ind w:left="26" w:right="-7" w:firstLine="4"/>
        <w:jc w:val="both"/>
        <w:rPr>
          <w:rFonts w:ascii="Times New Roman" w:hAnsi="Times New Roman" w:cs="Times New Roman"/>
          <w:color w:val="000000"/>
        </w:rPr>
      </w:pPr>
      <w:r>
        <w:rPr>
          <w:rFonts w:ascii="Times New Roman" w:hAnsi="Times New Roman" w:cs="Times New Roman"/>
          <w:color w:val="000000"/>
        </w:rPr>
        <w:t>L’articolo 15 del Piano triennale di prevenzione della corruzione e per la trasparenza del sistema educativo provinciale 202</w:t>
      </w:r>
      <w:r>
        <w:rPr>
          <w:rFonts w:ascii="Times New Roman" w:hAnsi="Times New Roman" w:cs="Times New Roman"/>
        </w:rPr>
        <w:t>2</w:t>
      </w:r>
      <w:r>
        <w:rPr>
          <w:rFonts w:ascii="Times New Roman" w:hAnsi="Times New Roman" w:cs="Times New Roman"/>
          <w:color w:val="000000"/>
        </w:rPr>
        <w:t>-202</w:t>
      </w:r>
      <w:r>
        <w:rPr>
          <w:rFonts w:ascii="Times New Roman" w:hAnsi="Times New Roman" w:cs="Times New Roman"/>
        </w:rPr>
        <w:t>4</w:t>
      </w:r>
      <w:r>
        <w:rPr>
          <w:rFonts w:ascii="Times New Roman" w:hAnsi="Times New Roman" w:cs="Times New Roman"/>
          <w:color w:val="000000"/>
        </w:rPr>
        <w:t xml:space="preserve">, approvato con la deliberazione della Giunta provinciale n. </w:t>
      </w:r>
      <w:r>
        <w:rPr>
          <w:rFonts w:ascii="Times New Roman" w:hAnsi="Times New Roman" w:cs="Times New Roman"/>
        </w:rPr>
        <w:t xml:space="preserve">628 </w:t>
      </w:r>
      <w:r>
        <w:rPr>
          <w:rFonts w:ascii="Times New Roman" w:hAnsi="Times New Roman" w:cs="Times New Roman"/>
          <w:color w:val="000000"/>
        </w:rPr>
        <w:t xml:space="preserve">del </w:t>
      </w:r>
      <w:r>
        <w:rPr>
          <w:rFonts w:ascii="Times New Roman" w:hAnsi="Times New Roman" w:cs="Times New Roman"/>
        </w:rPr>
        <w:t>14.4</w:t>
      </w:r>
      <w:r>
        <w:rPr>
          <w:rFonts w:ascii="Times New Roman" w:hAnsi="Times New Roman" w:cs="Times New Roman"/>
          <w:color w:val="000000"/>
        </w:rPr>
        <w:t>.202</w:t>
      </w:r>
      <w:r>
        <w:rPr>
          <w:rFonts w:ascii="Times New Roman" w:hAnsi="Times New Roman" w:cs="Times New Roman"/>
        </w:rPr>
        <w:t>2</w:t>
      </w:r>
      <w:r>
        <w:rPr>
          <w:rFonts w:ascii="Times New Roman" w:hAnsi="Times New Roman" w:cs="Times New Roman"/>
          <w:color w:val="000000"/>
        </w:rPr>
        <w:t xml:space="preserve">, tra le misure obbligatorie di prevenzione della corruzione prevede la compilazione di un’apposita dichiarazione da parte dei dipendenti al fine di rendere note le possibili situazioni di conflitto d’interesse nello svolgimento della propria attività lavorativa. Tale monitoraggio dei rapporti personali ha lo scopo di presidiare il rispetto del dovere di astensione dai compiti d’ufficio nel caso in cui insorga un conflitto di interessi, come previsto dall’articolo 7 del Codice di comportamento dei dipendenti della Provincia e degli enti strumentali di seguito riportato: </w:t>
      </w:r>
    </w:p>
    <w:p w:rsidR="00D4171E" w:rsidRDefault="00D4171E">
      <w:pPr>
        <w:pStyle w:val="normal0"/>
        <w:widowControl w:val="0"/>
        <w:spacing w:before="346" w:line="240" w:lineRule="auto"/>
        <w:ind w:left="4540" w:right="-7"/>
        <w:rPr>
          <w:rFonts w:ascii="Times New Roman" w:hAnsi="Times New Roman" w:cs="Times New Roman"/>
          <w:i/>
          <w:color w:val="000000"/>
        </w:rPr>
      </w:pPr>
      <w:r>
        <w:rPr>
          <w:rFonts w:ascii="Times New Roman" w:hAnsi="Times New Roman" w:cs="Times New Roman"/>
          <w:i/>
          <w:color w:val="000000"/>
        </w:rPr>
        <w:t xml:space="preserve">“Art. 7 </w:t>
      </w:r>
    </w:p>
    <w:p w:rsidR="00D4171E" w:rsidRDefault="00D4171E">
      <w:pPr>
        <w:pStyle w:val="normal0"/>
        <w:widowControl w:val="0"/>
        <w:spacing w:before="49" w:line="240" w:lineRule="auto"/>
        <w:ind w:left="3796" w:right="-7"/>
        <w:rPr>
          <w:rFonts w:ascii="Times New Roman" w:hAnsi="Times New Roman" w:cs="Times New Roman"/>
          <w:i/>
          <w:color w:val="000000"/>
        </w:rPr>
      </w:pPr>
      <w:r>
        <w:rPr>
          <w:rFonts w:ascii="Times New Roman" w:hAnsi="Times New Roman" w:cs="Times New Roman"/>
          <w:i/>
          <w:color w:val="000000"/>
        </w:rPr>
        <w:t xml:space="preserve">Obbligo di astensione </w:t>
      </w:r>
    </w:p>
    <w:p w:rsidR="00D4171E" w:rsidRDefault="00D4171E">
      <w:pPr>
        <w:pStyle w:val="normal0"/>
        <w:widowControl w:val="0"/>
        <w:spacing w:before="51" w:line="275" w:lineRule="auto"/>
        <w:ind w:right="-7" w:firstLine="40"/>
        <w:jc w:val="both"/>
        <w:rPr>
          <w:rFonts w:ascii="Times New Roman" w:hAnsi="Times New Roman" w:cs="Times New Roman"/>
          <w:i/>
          <w:color w:val="000000"/>
        </w:rPr>
      </w:pPr>
      <w:r>
        <w:rPr>
          <w:rFonts w:ascii="Times New Roman" w:hAnsi="Times New Roman" w:cs="Times New Roman"/>
          <w:i/>
          <w:color w:val="000000"/>
        </w:rPr>
        <w:t xml:space="preserve">1. Il dipendente si astiene dal prendere decisioni o svolgere attività inerenti alle sue mansioni in situazioni di conflitto di interessi, anche potenziale, con interessi personali, del coniuge, di conviventi, di parenti e di affini entro il secondo grado. Il conflitto può riguardare interessi di qualsiasi natura, anche non patrimoniali, come quelli derivanti dall’intento di voler assecondare pressioni politiche, sindacali o dei superiori gerarchici. </w:t>
      </w:r>
    </w:p>
    <w:p w:rsidR="00D4171E" w:rsidRDefault="00D4171E">
      <w:pPr>
        <w:pStyle w:val="normal0"/>
        <w:widowControl w:val="0"/>
        <w:spacing w:before="14"/>
        <w:ind w:left="32" w:right="-7" w:hanging="2"/>
        <w:jc w:val="both"/>
        <w:rPr>
          <w:rFonts w:ascii="Times New Roman" w:hAnsi="Times New Roman" w:cs="Times New Roman"/>
          <w:i/>
          <w:color w:val="000000"/>
        </w:rPr>
      </w:pPr>
      <w:r>
        <w:rPr>
          <w:rFonts w:ascii="Times New Roman" w:hAnsi="Times New Roman" w:cs="Times New Roman"/>
          <w:i/>
          <w:color w:val="000000"/>
        </w:rPr>
        <w:t>2. Il dipendente si astiene altresì dal partecipare all’adozione di decisioni o ad attività che possano coinvolgere interessi propri ovvero: di suoi parenti o affini entro il secondo grado; del coniuge o</w:t>
      </w:r>
      <w:r>
        <w:rPr>
          <w:rFonts w:ascii="Times New Roman" w:hAnsi="Times New Roman" w:cs="Times New Roman"/>
          <w:i/>
        </w:rPr>
        <w:t xml:space="preserve"> </w:t>
      </w:r>
      <w:r>
        <w:rPr>
          <w:rFonts w:ascii="Times New Roman" w:hAnsi="Times New Roman" w:cs="Times New Roman"/>
          <w:i/>
          <w:color w:val="000000"/>
        </w:rPr>
        <w:t xml:space="preserve">conviventi oppure di persone con le quali abbia rapporti di frequentazione abituale; di individui od organizzazioni con cui egli stesso o il coniuge abbia causa pendente o grave inimicizia o rapporti di credito o debito significativi; di individui od organizzazioni di cui egli sia tutore, curatore, procuratore o agente; di enti, associazioni anche non riconosciute, comitati, società o stabilimenti di cui egli sia amministratore o gerente o dirigente. Il conflitto può riguardare interessi di qualsiasi natura, anche non patrimoniali, come quelli derivanti dall’intento di voler assecondare pressioni politiche, sindacali o dei superiori gerarchici. Il dipendente si astiene in ogni altro caso in cui esistano gravi ragioni di convenienza. </w:t>
      </w:r>
    </w:p>
    <w:p w:rsidR="00D4171E" w:rsidRDefault="00D4171E">
      <w:pPr>
        <w:pStyle w:val="normal0"/>
        <w:widowControl w:val="0"/>
        <w:spacing w:before="14"/>
        <w:ind w:left="30" w:right="-7" w:firstLine="3"/>
        <w:jc w:val="both"/>
        <w:rPr>
          <w:rFonts w:ascii="Times New Roman" w:hAnsi="Times New Roman" w:cs="Times New Roman"/>
          <w:i/>
          <w:color w:val="000000"/>
        </w:rPr>
      </w:pPr>
      <w:r>
        <w:rPr>
          <w:rFonts w:ascii="Times New Roman" w:hAnsi="Times New Roman" w:cs="Times New Roman"/>
          <w:i/>
          <w:color w:val="000000"/>
        </w:rPr>
        <w:t>3. Il dipendente dichiara per iscritto al dirigente della struttura di assegnazione i motivi</w:t>
      </w:r>
      <w:r>
        <w:rPr>
          <w:rFonts w:ascii="Times New Roman" w:hAnsi="Times New Roman" w:cs="Times New Roman"/>
          <w:i/>
        </w:rPr>
        <w:t xml:space="preserve"> </w:t>
      </w:r>
      <w:r>
        <w:rPr>
          <w:rFonts w:ascii="Times New Roman" w:hAnsi="Times New Roman" w:cs="Times New Roman"/>
          <w:i/>
          <w:color w:val="000000"/>
        </w:rPr>
        <w:t xml:space="preserve">dell’astensione. </w:t>
      </w:r>
    </w:p>
    <w:p w:rsidR="00D4171E" w:rsidRDefault="00D4171E">
      <w:pPr>
        <w:pStyle w:val="normal0"/>
        <w:widowControl w:val="0"/>
        <w:spacing w:before="13" w:line="240" w:lineRule="auto"/>
        <w:ind w:left="33" w:right="-7"/>
        <w:jc w:val="both"/>
        <w:rPr>
          <w:rFonts w:ascii="Times New Roman" w:hAnsi="Times New Roman" w:cs="Times New Roman"/>
          <w:i/>
          <w:color w:val="000000"/>
        </w:rPr>
      </w:pPr>
      <w:r>
        <w:rPr>
          <w:rFonts w:ascii="Times New Roman" w:hAnsi="Times New Roman" w:cs="Times New Roman"/>
          <w:i/>
          <w:color w:val="000000"/>
        </w:rPr>
        <w:t xml:space="preserve">4. Il dirigente entro cinque giorni: </w:t>
      </w:r>
    </w:p>
    <w:p w:rsidR="00D4171E" w:rsidRDefault="00D4171E">
      <w:pPr>
        <w:pStyle w:val="normal0"/>
        <w:widowControl w:val="0"/>
        <w:spacing w:before="51" w:line="275" w:lineRule="auto"/>
        <w:ind w:left="20" w:right="-7" w:firstLine="11"/>
        <w:jc w:val="both"/>
        <w:rPr>
          <w:rFonts w:ascii="Times New Roman" w:hAnsi="Times New Roman" w:cs="Times New Roman"/>
          <w:i/>
          <w:color w:val="000000"/>
        </w:rPr>
      </w:pPr>
      <w:r>
        <w:rPr>
          <w:rFonts w:ascii="Times New Roman" w:hAnsi="Times New Roman" w:cs="Times New Roman"/>
          <w:i/>
          <w:color w:val="000000"/>
        </w:rPr>
        <w:t xml:space="preserve">a) riconosce il conflitto di interesse e assegna la pratica ad altro dipendente; </w:t>
      </w:r>
    </w:p>
    <w:p w:rsidR="00D4171E" w:rsidRDefault="00D4171E">
      <w:pPr>
        <w:pStyle w:val="normal0"/>
        <w:widowControl w:val="0"/>
        <w:spacing w:before="51" w:line="275" w:lineRule="auto"/>
        <w:ind w:left="20" w:right="-7" w:firstLine="11"/>
        <w:jc w:val="both"/>
        <w:rPr>
          <w:rFonts w:ascii="Times New Roman" w:hAnsi="Times New Roman" w:cs="Times New Roman"/>
          <w:i/>
          <w:color w:val="000000"/>
        </w:rPr>
      </w:pPr>
      <w:r>
        <w:rPr>
          <w:rFonts w:ascii="Times New Roman" w:hAnsi="Times New Roman" w:cs="Times New Roman"/>
          <w:i/>
          <w:color w:val="000000"/>
        </w:rPr>
        <w:t>b) conferma l’assegnazione della pratica al dipendente indicandone le relative ragioni;</w:t>
      </w:r>
    </w:p>
    <w:p w:rsidR="00D4171E" w:rsidRDefault="00D4171E">
      <w:pPr>
        <w:pStyle w:val="normal0"/>
        <w:widowControl w:val="0"/>
        <w:spacing w:before="51" w:line="275" w:lineRule="auto"/>
        <w:ind w:left="20" w:right="-7" w:firstLine="11"/>
        <w:jc w:val="both"/>
        <w:rPr>
          <w:rFonts w:ascii="Times New Roman" w:hAnsi="Times New Roman" w:cs="Times New Roman"/>
          <w:i/>
          <w:color w:val="000000"/>
        </w:rPr>
      </w:pPr>
      <w:r>
        <w:rPr>
          <w:rFonts w:ascii="Times New Roman" w:hAnsi="Times New Roman" w:cs="Times New Roman"/>
          <w:i/>
          <w:color w:val="000000"/>
        </w:rPr>
        <w:t xml:space="preserve">c) chiede tempestivamente, se necessario, elementi integrativi fissando allo scopo breve termine. Pervenuti gli elementi integrativi si esprime nei successivi tre giorni.  </w:t>
      </w:r>
    </w:p>
    <w:p w:rsidR="00D4171E" w:rsidRDefault="00D4171E">
      <w:pPr>
        <w:pStyle w:val="normal0"/>
        <w:widowControl w:val="0"/>
        <w:spacing w:before="16" w:line="275" w:lineRule="auto"/>
        <w:ind w:left="31" w:right="-7" w:firstLine="3"/>
        <w:jc w:val="both"/>
        <w:rPr>
          <w:rFonts w:ascii="Times New Roman" w:hAnsi="Times New Roman" w:cs="Times New Roman"/>
          <w:i/>
          <w:color w:val="000000"/>
        </w:rPr>
      </w:pPr>
      <w:r>
        <w:rPr>
          <w:rFonts w:ascii="Times New Roman" w:hAnsi="Times New Roman" w:cs="Times New Roman"/>
          <w:i/>
          <w:color w:val="000000"/>
        </w:rPr>
        <w:t xml:space="preserve">5. In caso di astensione del dirigente si applica quanto previsto dall’art. 13, c. 11. Ove sia riconosciuto l’obbligo di astensione, la pratica è assegnata al sostituto del dirigente in conflitto di interessi. </w:t>
      </w:r>
    </w:p>
    <w:p w:rsidR="00D4171E" w:rsidRDefault="00D4171E">
      <w:pPr>
        <w:pStyle w:val="normal0"/>
        <w:widowControl w:val="0"/>
        <w:spacing w:before="14"/>
        <w:ind w:right="-7" w:firstLine="41"/>
        <w:jc w:val="both"/>
        <w:rPr>
          <w:rFonts w:ascii="Times New Roman" w:hAnsi="Times New Roman" w:cs="Times New Roman"/>
          <w:i/>
          <w:color w:val="000000"/>
        </w:rPr>
      </w:pPr>
      <w:r>
        <w:rPr>
          <w:rFonts w:ascii="Times New Roman" w:hAnsi="Times New Roman" w:cs="Times New Roman"/>
          <w:i/>
          <w:color w:val="000000"/>
        </w:rPr>
        <w:t xml:space="preserve">6. E’ predisposto un sistema di archiviazione ad hoc dei casi di astensione. A tale fine la struttura di primo livello competente in materia di organizzazione provvede alla raccolta e conservazione dei casi di astensione su documentata segnalazione dei dirigenti che </w:t>
      </w:r>
      <w:r>
        <w:rPr>
          <w:rFonts w:ascii="Times New Roman" w:hAnsi="Times New Roman" w:cs="Times New Roman"/>
          <w:i/>
        </w:rPr>
        <w:t>provvedono</w:t>
      </w:r>
      <w:r>
        <w:rPr>
          <w:rFonts w:ascii="Times New Roman" w:hAnsi="Times New Roman" w:cs="Times New Roman"/>
          <w:i/>
          <w:color w:val="000000"/>
        </w:rPr>
        <w:t xml:space="preserve"> ai sensi del comma 4, lett. a) del presente articolo.” </w:t>
      </w:r>
    </w:p>
    <w:p w:rsidR="00D4171E" w:rsidRDefault="00D4171E">
      <w:pPr>
        <w:pStyle w:val="normal0"/>
        <w:widowControl w:val="0"/>
        <w:spacing w:before="345" w:line="275" w:lineRule="auto"/>
        <w:ind w:left="34" w:right="-7" w:hanging="5"/>
        <w:jc w:val="both"/>
        <w:rPr>
          <w:rFonts w:ascii="Times New Roman" w:hAnsi="Times New Roman" w:cs="Times New Roman"/>
          <w:color w:val="000000"/>
        </w:rPr>
      </w:pPr>
      <w:r>
        <w:rPr>
          <w:rFonts w:ascii="Times New Roman" w:hAnsi="Times New Roman" w:cs="Times New Roman"/>
          <w:color w:val="000000"/>
        </w:rPr>
        <w:t xml:space="preserve">Al fine di garantire l’effettivo rispetto della disposizione in esame e di monitorarne l’attuazione, anche alla luce della vigente disciplina legislativa, è necessario che il dirigente dell’istituzione abbia conoscenza delle relazioni e degli interessi che, in ragione della tipologia del lavoro svolto, possono determinare una situazione di conflitto di interessi, anche solo potenziale, per i dipendenti assegnati alla propria struttura. </w:t>
      </w:r>
    </w:p>
    <w:p w:rsidR="00D4171E" w:rsidRDefault="00D4171E">
      <w:pPr>
        <w:pStyle w:val="normal0"/>
        <w:widowControl w:val="0"/>
        <w:spacing w:before="14"/>
        <w:ind w:left="34" w:right="-7" w:firstLine="7"/>
        <w:jc w:val="both"/>
        <w:rPr>
          <w:rFonts w:ascii="Times New Roman" w:hAnsi="Times New Roman" w:cs="Times New Roman"/>
          <w:color w:val="000000"/>
        </w:rPr>
      </w:pPr>
      <w:r>
        <w:rPr>
          <w:rFonts w:ascii="Times New Roman" w:hAnsi="Times New Roman" w:cs="Times New Roman"/>
          <w:color w:val="000000"/>
        </w:rPr>
        <w:t>Si invitano pertanto i dipendenti a voler comunicare i necessari elementi identificativi dei soggetti e delle situazioni che potrebbero determinare, in capo ai dipendenti medesimi, un dovere di astensione dallo svolgimento del compito d’ufficio in considerazione dell’attività lavorativa assegnata (</w:t>
      </w:r>
      <w:r>
        <w:rPr>
          <w:rFonts w:ascii="Times New Roman" w:hAnsi="Times New Roman" w:cs="Times New Roman"/>
          <w:b/>
          <w:color w:val="000000"/>
        </w:rPr>
        <w:t>vedi modello di dichiarazione dei rapporti personali che possono compo</w:t>
      </w:r>
      <w:r>
        <w:rPr>
          <w:rFonts w:ascii="Times New Roman" w:hAnsi="Times New Roman" w:cs="Times New Roman"/>
          <w:b/>
        </w:rPr>
        <w:t>rtare conflitti di interesse</w:t>
      </w:r>
      <w:r>
        <w:rPr>
          <w:rFonts w:ascii="Times New Roman" w:hAnsi="Times New Roman" w:cs="Times New Roman"/>
          <w:b/>
          <w:color w:val="000000"/>
        </w:rPr>
        <w:t xml:space="preserve"> allegato alla presente)</w:t>
      </w:r>
      <w:r>
        <w:rPr>
          <w:rFonts w:ascii="Times New Roman" w:hAnsi="Times New Roman" w:cs="Times New Roman"/>
          <w:color w:val="000000"/>
        </w:rPr>
        <w:t xml:space="preserve">. </w:t>
      </w:r>
    </w:p>
    <w:p w:rsidR="00D4171E" w:rsidRDefault="00D4171E">
      <w:pPr>
        <w:pStyle w:val="normal0"/>
        <w:widowControl w:val="0"/>
        <w:spacing w:before="13"/>
        <w:ind w:left="27" w:right="-7" w:firstLine="13"/>
        <w:rPr>
          <w:rFonts w:ascii="Times New Roman" w:hAnsi="Times New Roman" w:cs="Times New Roman"/>
          <w:color w:val="000000"/>
        </w:rPr>
      </w:pPr>
      <w:r>
        <w:rPr>
          <w:rFonts w:ascii="Times New Roman" w:hAnsi="Times New Roman" w:cs="Times New Roman"/>
        </w:rPr>
        <w:t>Si invitano</w:t>
      </w:r>
      <w:r>
        <w:rPr>
          <w:rFonts w:ascii="Times New Roman" w:hAnsi="Times New Roman" w:cs="Times New Roman"/>
          <w:color w:val="000000"/>
        </w:rPr>
        <w:t xml:space="preserve"> inoltre gli stessi dipendenti ad aggiornare tempestivamente le informazioni dichiarate in risposta alla presente nota ogni qualvolta necessario. </w:t>
      </w:r>
    </w:p>
    <w:p w:rsidR="00D4171E" w:rsidRDefault="00D4171E">
      <w:pPr>
        <w:pStyle w:val="normal0"/>
        <w:widowControl w:val="0"/>
        <w:spacing w:before="675" w:line="240" w:lineRule="auto"/>
        <w:ind w:right="1976"/>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Il Dirigente </w:t>
      </w:r>
    </w:p>
    <w:p w:rsidR="00D4171E" w:rsidRDefault="00D4171E">
      <w:pPr>
        <w:pStyle w:val="normal0"/>
        <w:spacing w:before="100" w:line="288" w:lineRule="auto"/>
        <w:ind w:left="4540" w:right="-7"/>
        <w:jc w:val="both"/>
        <w:rPr>
          <w:color w:val="000000"/>
          <w:sz w:val="18"/>
          <w:szCs w:val="18"/>
        </w:rPr>
      </w:pPr>
      <w:r>
        <w:rPr>
          <w:rFonts w:ascii="Times New Roman" w:hAnsi="Times New Roman" w:cs="Times New Roman"/>
          <w:sz w:val="18"/>
          <w:szCs w:val="18"/>
        </w:rPr>
        <w:t>Questa nota, se trasmessa in forma cartacea, costituisce copia dell’originale informatico firmato digitalmente, predisposto e conservato presso questa Amministrazione in conformità alle Linee guida AgID (artt. 3 bis, c. 4 bis, e 71 D.Lgs. 82/2005). La firma autografa è sostituita dall'indicazione a stampa del nominativo del responsabile (art. 3 D.Lgs. 39/1993).</w:t>
      </w:r>
    </w:p>
    <w:p w:rsidR="00D4171E" w:rsidRDefault="00D4171E">
      <w:pPr>
        <w:pStyle w:val="normal0"/>
        <w:widowControl w:val="0"/>
        <w:spacing w:before="33" w:line="240" w:lineRule="auto"/>
        <w:ind w:left="28" w:right="-7"/>
        <w:rPr>
          <w:rFonts w:ascii="Times New Roman" w:hAnsi="Times New Roman" w:cs="Times New Roman"/>
          <w:color w:val="000000"/>
          <w:sz w:val="18"/>
          <w:szCs w:val="18"/>
        </w:rPr>
      </w:pPr>
      <w:r>
        <w:rPr>
          <w:rFonts w:ascii="Times New Roman" w:hAnsi="Times New Roman" w:cs="Times New Roman"/>
          <w:color w:val="000000"/>
          <w:sz w:val="18"/>
          <w:szCs w:val="18"/>
        </w:rPr>
        <w:t>Allegati: c.s.</w:t>
      </w:r>
    </w:p>
    <w:p w:rsidR="00D4171E" w:rsidRDefault="00D4171E">
      <w:pPr>
        <w:pStyle w:val="normal0"/>
        <w:widowControl w:val="0"/>
        <w:spacing w:line="240" w:lineRule="auto"/>
        <w:ind w:right="1157"/>
        <w:rPr>
          <w:rFonts w:ascii="Times New Roman" w:hAnsi="Times New Roman" w:cs="Times New Roman"/>
          <w:sz w:val="24"/>
          <w:szCs w:val="24"/>
        </w:rPr>
      </w:pPr>
    </w:p>
    <w:p w:rsidR="00D4171E" w:rsidRDefault="00D4171E">
      <w:pPr>
        <w:pStyle w:val="normal0"/>
        <w:widowControl w:val="0"/>
        <w:spacing w:before="51" w:line="240" w:lineRule="auto"/>
        <w:ind w:right="2300"/>
        <w:jc w:val="right"/>
        <w:rPr>
          <w:rFonts w:ascii="Times New Roman" w:hAnsi="Times New Roman" w:cs="Times New Roman"/>
          <w:color w:val="000000"/>
          <w:sz w:val="24"/>
          <w:szCs w:val="24"/>
        </w:rPr>
      </w:pPr>
    </w:p>
    <w:sectPr w:rsidR="00D4171E" w:rsidSect="007B6116">
      <w:headerReference w:type="default" r:id="rId6"/>
      <w:pgSz w:w="11900" w:h="16820"/>
      <w:pgMar w:top="1440" w:right="1133" w:bottom="1440" w:left="1133"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1E" w:rsidRDefault="00D4171E" w:rsidP="007B6116">
      <w:pPr>
        <w:spacing w:line="240" w:lineRule="auto"/>
      </w:pPr>
      <w:r>
        <w:separator/>
      </w:r>
    </w:p>
  </w:endnote>
  <w:endnote w:type="continuationSeparator" w:id="0">
    <w:p w:rsidR="00D4171E" w:rsidRDefault="00D4171E" w:rsidP="007B61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1E" w:rsidRDefault="00D4171E" w:rsidP="007B6116">
      <w:pPr>
        <w:spacing w:line="240" w:lineRule="auto"/>
      </w:pPr>
      <w:r>
        <w:separator/>
      </w:r>
    </w:p>
  </w:footnote>
  <w:footnote w:type="continuationSeparator" w:id="0">
    <w:p w:rsidR="00D4171E" w:rsidRDefault="00D4171E" w:rsidP="007B61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1E" w:rsidRDefault="00D4171E">
    <w:pPr>
      <w:pStyle w:val="normal0"/>
      <w:widowControl w:val="0"/>
      <w:spacing w:before="51" w:line="240" w:lineRule="auto"/>
      <w:ind w:right="1033"/>
      <w:jc w:val="right"/>
      <w:rPr>
        <w:rFonts w:ascii="Times New Roman" w:hAnsi="Times New Roman" w:cs="Times New Roman"/>
        <w:sz w:val="24"/>
        <w:szCs w:val="24"/>
      </w:rPr>
    </w:pPr>
  </w:p>
  <w:p w:rsidR="00D4171E" w:rsidRDefault="00D4171E">
    <w:pPr>
      <w:pStyle w:val="normal0"/>
      <w:widowControl w:val="0"/>
      <w:spacing w:before="51" w:line="240" w:lineRule="auto"/>
      <w:ind w:right="1033"/>
      <w:jc w:val="right"/>
      <w:rPr>
        <w:rFonts w:ascii="Times New Roman" w:hAnsi="Times New Roman" w:cs="Times New Roman"/>
      </w:rPr>
    </w:pPr>
  </w:p>
  <w:p w:rsidR="00D4171E" w:rsidRDefault="00D4171E">
    <w:pPr>
      <w:pStyle w:val="normal0"/>
      <w:widowControl w:val="0"/>
      <w:spacing w:before="51" w:line="240" w:lineRule="auto"/>
      <w:ind w:right="1033"/>
      <w:jc w:val="right"/>
      <w:rPr>
        <w:rFonts w:ascii="Times New Roman" w:hAnsi="Times New Roman" w:cs="Times New Roman"/>
      </w:rPr>
    </w:pPr>
    <w:r>
      <w:rPr>
        <w:rFonts w:ascii="Times New Roman" w:hAnsi="Times New Roman" w:cs="Times New Roman"/>
      </w:rPr>
      <w:t xml:space="preserve"> Circolare n. 2/2022 “ANTICORRUZIONE-TRASPARENZA”   ALLEGATO 2)</w:t>
    </w:r>
  </w:p>
  <w:p w:rsidR="00D4171E" w:rsidRDefault="00D4171E">
    <w:pPr>
      <w:pStyle w:val="normal0"/>
      <w:widowControl w:val="0"/>
      <w:spacing w:before="51" w:line="240" w:lineRule="auto"/>
      <w:ind w:right="1033"/>
      <w:jc w:val="right"/>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116"/>
    <w:rsid w:val="0022761B"/>
    <w:rsid w:val="007B6116"/>
    <w:rsid w:val="00813E27"/>
    <w:rsid w:val="00D4171E"/>
    <w:rsid w:val="00FF29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0"/>
    <w:next w:val="normal0"/>
    <w:link w:val="Heading1Char"/>
    <w:uiPriority w:val="99"/>
    <w:qFormat/>
    <w:rsid w:val="007B6116"/>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B6116"/>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B6116"/>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7B6116"/>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7B6116"/>
    <w:pPr>
      <w:keepNext/>
      <w:keepLines/>
      <w:spacing w:before="220" w:after="40"/>
      <w:outlineLvl w:val="4"/>
    </w:pPr>
    <w:rPr>
      <w:b/>
    </w:rPr>
  </w:style>
  <w:style w:type="paragraph" w:styleId="Heading6">
    <w:name w:val="heading 6"/>
    <w:basedOn w:val="normal0"/>
    <w:next w:val="normal0"/>
    <w:link w:val="Heading6Char"/>
    <w:uiPriority w:val="99"/>
    <w:qFormat/>
    <w:rsid w:val="007B611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363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363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3635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3635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36358"/>
    <w:rPr>
      <w:rFonts w:asciiTheme="minorHAnsi" w:eastAsiaTheme="minorEastAsia" w:hAnsiTheme="minorHAnsi" w:cstheme="minorBidi"/>
      <w:b/>
      <w:bCs/>
    </w:rPr>
  </w:style>
  <w:style w:type="paragraph" w:customStyle="1" w:styleId="normal0">
    <w:name w:val="normal"/>
    <w:uiPriority w:val="99"/>
    <w:rsid w:val="007B6116"/>
    <w:pPr>
      <w:spacing w:line="276" w:lineRule="auto"/>
    </w:pPr>
  </w:style>
  <w:style w:type="paragraph" w:styleId="Title">
    <w:name w:val="Title"/>
    <w:basedOn w:val="normal0"/>
    <w:next w:val="normal0"/>
    <w:link w:val="TitleChar"/>
    <w:uiPriority w:val="99"/>
    <w:qFormat/>
    <w:rsid w:val="007B6116"/>
    <w:pPr>
      <w:keepNext/>
      <w:keepLines/>
      <w:spacing w:before="480" w:after="120"/>
    </w:pPr>
    <w:rPr>
      <w:b/>
      <w:sz w:val="72"/>
      <w:szCs w:val="72"/>
    </w:rPr>
  </w:style>
  <w:style w:type="character" w:customStyle="1" w:styleId="TitleChar">
    <w:name w:val="Title Char"/>
    <w:basedOn w:val="DefaultParagraphFont"/>
    <w:link w:val="Title"/>
    <w:uiPriority w:val="10"/>
    <w:rsid w:val="00A36358"/>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7B611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36358"/>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814</Words>
  <Characters>4646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DELL’ISTITUZIONE </dc:title>
  <dc:subject/>
  <dc:creator/>
  <cp:keywords/>
  <dc:description/>
  <cp:lastModifiedBy>PR42691</cp:lastModifiedBy>
  <cp:revision>2</cp:revision>
  <dcterms:created xsi:type="dcterms:W3CDTF">2022-08-11T12:10:00Z</dcterms:created>
  <dcterms:modified xsi:type="dcterms:W3CDTF">2022-08-11T12:10:00Z</dcterms:modified>
</cp:coreProperties>
</file>